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atLeast"/>
        <w:jc w:val="left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>
      <w:pPr>
        <w:snapToGrid w:val="0"/>
        <w:spacing w:line="580" w:lineRule="atLeast"/>
        <w:rPr>
          <w:rFonts w:eastAsia="黑体"/>
          <w:sz w:val="44"/>
          <w:szCs w:val="44"/>
        </w:rPr>
      </w:pPr>
    </w:p>
    <w:p>
      <w:pPr>
        <w:snapToGrid w:val="0"/>
        <w:spacing w:line="580" w:lineRule="atLeast"/>
        <w:jc w:val="center"/>
        <w:rPr>
          <w:rFonts w:hint="eastAsia" w:ascii="长城小标宋体" w:eastAsia="长城小标宋体"/>
          <w:color w:val="000000"/>
          <w:kern w:val="0"/>
          <w:sz w:val="44"/>
          <w:szCs w:val="44"/>
        </w:rPr>
      </w:pPr>
      <w:r>
        <w:rPr>
          <w:rFonts w:hint="eastAsia" w:ascii="长城小标宋体" w:eastAsia="长城小标宋体"/>
          <w:color w:val="000000"/>
          <w:kern w:val="0"/>
          <w:sz w:val="44"/>
          <w:szCs w:val="44"/>
        </w:rPr>
        <w:t>审计调查所需相关资料</w:t>
      </w:r>
    </w:p>
    <w:p>
      <w:pPr>
        <w:snapToGrid w:val="0"/>
        <w:spacing w:line="580" w:lineRule="atLeast"/>
        <w:jc w:val="center"/>
        <w:rPr>
          <w:rFonts w:eastAsia="黑体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1．各信息系统建设相关的项目建议书、可行性研究报告、初步设计及相关批复等项目建设资料（含软硬件及配套设施建设）。 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2．各信息系统建设相关的预算批复、财务支付凭证等相关资料。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3．各信息系统项目招投标文件及软硬件采购合同。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4．各信息系统等级保护及安全评估相关资料。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5．各竣工决算草案、审计报告等竣工验收资料（含专家对信息系统项目的评审情况）。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6．各信息系统使用管理制度、操作使用手册。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7．各信息系统上线运行前测试验收文件。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8．各信息系统运行巡检记录、报告。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9．信息系统网络机房托管协议或合同。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10．信息系统所属网络拓朴结构及说明资料。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11．各信息系统数据共享方式相关说明资料。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12．各信息系统外包运维服务合同。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13．信息系统整合方案说明。</w:t>
      </w:r>
    </w:p>
    <w:p>
      <w:pPr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14．本单位2011至2017年度信息化工作总结。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F515389"/>
    <w:rsid w:val="78B934B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杨朝军</cp:lastModifiedBy>
  <dcterms:modified xsi:type="dcterms:W3CDTF">2018-10-18T02:36:37Z</dcterms:modified>
  <dc:title>附件3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